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line="360" w:lineRule="auto" w:before="0" w:after="0"/>
      </w:pPr>
      <w:r>
        <w:rPr>
          <w:rFonts w:ascii="Noto Serif CJK SC" w:hAnsi="Noto Serif CJK SC" w:eastAsia="Noto Serif CJK SC"/>
          <w:b w:val="0"/>
          <w:sz w:val="44"/>
        </w:rPr>
        <w:t>建议理性看待AI末日假设报告，加强人工智能风险治理与市场预期引导</w:t>
      </w:r>
    </w:p>
    <w:p/>
    <w:p>
      <w:pPr>
        <w:jc w:val="both"/>
        <w:spacing w:line="360" w:lineRule="auto" w:before="0" w:after="0"/>
      </w:pPr>
      <w:r>
        <w:rPr>
          <w:rFonts w:ascii="Noto Serif CJK SC" w:hAnsi="Noto Serif CJK SC" w:eastAsia="Noto Serif CJK SC"/>
          <w:b/>
          <w:sz w:val="28"/>
        </w:rPr>
        <w:t>摘要：</w:t>
      </w:r>
      <w:r>
        <w:rPr>
          <w:rFonts w:ascii="Noto Serif CJK SC" w:hAnsi="Noto Serif CJK SC" w:eastAsia="Noto Serif CJK SC"/>
          <w:sz w:val="28"/>
        </w:rPr>
        <w:t>近日，美国西特里尼研究公司发布《2028全球智能危机》假设性报告，描绘人工智能可能导致的经济崩溃与社会危机场景，引发科技和金融公司股价大幅下跌。该报告虽属极端假设，但反映出市场对“AI泡沫”的深度担忧。需理性分析报告影响，加强AI风险治理体系建设和市场预期引导，避免非理性恐慌对科技创新与经济稳定造成冲击。</w:t>
      </w:r>
    </w:p>
    <w:p/>
    <w:p>
      <w:pPr>
        <w:ind w:firstLine="475"/>
        <w:jc w:val="both"/>
        <w:spacing w:line="360" w:lineRule="auto" w:before="0" w:after="0"/>
      </w:pPr>
      <w:r>
        <w:rPr>
          <w:rFonts w:ascii="Noto Serif CJK SC" w:hAnsi="Noto Serif CJK SC" w:eastAsia="Noto Serif CJK SC"/>
          <w:b/>
          <w:sz w:val="32"/>
        </w:rPr>
        <w:t>农工党广西区委科技专委会主任、南宁师范大学人工智能学院副院长欧启忠：</w:t>
      </w:r>
      <w:r>
        <w:rPr>
          <w:rFonts w:ascii="Noto Serif CJK SC" w:hAnsi="Noto Serif CJK SC" w:eastAsia="Noto Serif CJK SC"/>
          <w:sz w:val="32"/>
        </w:rPr>
        <w:t>西特里尼研究公司近日发布的《2028全球智能危机》报告，以极端假设性情景描绘人工智能可能引发的全球经济崩溃与社会危机，在美国市场引发广泛关注并导致多家科技和金融公司股价大幅下跌。这份报告虽被部分专家认为反应过度，但确实揭示了当前投资者对人工智能发展风险的普遍担忧，以及对“AI泡沫”可能破裂的警惕已达到相当高的水平。这一现象值得深入分析，需要从风险认知、市场心理、监管引导等多维度采取应对措施，确保人工智能在安全可控轨道上健康发展。</w:t>
      </w:r>
    </w:p>
    <w:p>
      <w:pPr>
        <w:ind w:firstLine="475"/>
        <w:jc w:val="both"/>
        <w:spacing w:line="360" w:lineRule="auto" w:before="0" w:after="0"/>
      </w:pPr>
      <w:r>
        <w:rPr>
          <w:rFonts w:ascii="Noto Serif CJK SC" w:hAnsi="Noto Serif CJK SC" w:eastAsia="Noto Serif CJK SC"/>
          <w:b w:val="0"/>
          <w:sz w:val="32"/>
        </w:rPr>
        <w:t>**一、AI末日假设报告影响分析**</w:t>
      </w:r>
    </w:p>
    <w:p>
      <w:pPr>
        <w:ind w:firstLine="475"/>
        <w:jc w:val="both"/>
        <w:spacing w:line="360" w:lineRule="auto" w:before="0" w:after="0"/>
      </w:pPr>
      <w:r>
        <w:rPr>
          <w:rFonts w:ascii="Noto Serif CJK SC" w:hAnsi="Noto Serif CJK SC" w:eastAsia="Noto Serif CJK SC"/>
          <w:b w:val="0"/>
          <w:sz w:val="32"/>
        </w:rPr>
        <w:t>西特里尼研究公司的报告之所以引发市场剧烈反应，反映了当前人工智能发展进程中几个深层次问题。从技术发展角度看，人工智能特别是通用人工智能（AGI）的快速发展超出了许多人的预期，技术路线的不确定性增加了风险判断的难度。报告设定的2028年时间节点，恰与多家科技巨头预测的AGI实现时间相近，加剧了市场对技术失控的担忧。</w:t>
      </w:r>
    </w:p>
    <w:p>
      <w:pPr>
        <w:ind w:firstLine="475"/>
        <w:jc w:val="both"/>
        <w:spacing w:line="360" w:lineRule="auto" w:before="0" w:after="0"/>
      </w:pPr>
      <w:r>
        <w:rPr>
          <w:rFonts w:ascii="Noto Serif CJK SC" w:hAnsi="Noto Serif CJK SC" w:eastAsia="Noto Serif CJK SC"/>
          <w:b w:val="0"/>
          <w:sz w:val="32"/>
        </w:rPr>
        <w:t>从经济影响层面看，人工智能正在重塑全球产业格局，传统行业面临颠覆性变革，劳动力市场结构可能出现重大调整。报告描绘的大规模失业、经济衰退等场景，触及了社会对技术变革的深层焦虑。特别是在当前全球经济复苏乏力、地缘政治紧张的背景下，任何负面预测都容易被放大解读。</w:t>
      </w:r>
    </w:p>
    <w:p>
      <w:pPr>
        <w:ind w:firstLine="475"/>
        <w:jc w:val="both"/>
        <w:spacing w:line="360" w:lineRule="auto" w:before="0" w:after="0"/>
      </w:pPr>
      <w:r>
        <w:rPr>
          <w:rFonts w:ascii="Noto Serif CJK SC" w:hAnsi="Noto Serif CJK SC" w:eastAsia="Noto Serif CJK SC"/>
          <w:b w:val="0"/>
          <w:sz w:val="32"/>
        </w:rPr>
        <w:t>从市场心理角度分析，过去几年人工智能领域投资过热，估值泡沫现象明显。科技公司股价普遍包含较高的AI预期溢价，市场情绪本就脆弱。一份极端假设报告如同“压垮骆驼的最后一根稻草”，触发了投资者的获利了结和风险规避行为。这种反应虽有过激成分，但提醒我们AI领域的市场预期管理存在缺失。</w:t>
      </w:r>
    </w:p>
    <w:p>
      <w:pPr>
        <w:ind w:firstLine="475"/>
        <w:jc w:val="both"/>
        <w:spacing w:line="360" w:lineRule="auto" w:before="0" w:after="0"/>
      </w:pPr>
      <w:r>
        <w:rPr>
          <w:rFonts w:ascii="Noto Serif CJK SC" w:hAnsi="Noto Serif CJK SC" w:eastAsia="Noto Serif CJK SC"/>
          <w:b w:val="0"/>
          <w:sz w:val="32"/>
        </w:rPr>
        <w:t>从监管环境观察，全球对人工智能的监管框架尚在构建中，缺乏统一的国际规则和风险评估标准。监管滞后于技术发展，导致风险认知主要依赖企业自律和学术研究。当一家研究机构发布极端预警时，缺乏权威的官方风险评估作为对照，容易引发市场混乱。</w:t>
      </w:r>
    </w:p>
    <w:p>
      <w:pPr>
        <w:ind w:firstLine="475"/>
        <w:jc w:val="both"/>
        <w:spacing w:line="360" w:lineRule="auto" w:before="0" w:after="0"/>
      </w:pPr>
      <w:r>
        <w:rPr>
          <w:rFonts w:ascii="Noto Serif CJK SC" w:hAnsi="Noto Serif CJK SC" w:eastAsia="Noto Serif CJK SC"/>
          <w:b w:val="0"/>
          <w:sz w:val="32"/>
        </w:rPr>
        <w:t>更深层次看，这反映了社会对新兴技术治理能力的信心不足。公众对人工智能的了解大多来自媒体报道和商业宣传，缺乏系统性的科学普及。当出现负面预测时，公众难以判断其合理性和概率，容易产生恐慌情绪。媒体为吸引眼球往往放大极端观点，进一步加剧了信息不对称。</w:t>
      </w:r>
    </w:p>
    <w:p>
      <w:pPr>
        <w:ind w:firstLine="475"/>
        <w:jc w:val="both"/>
        <w:spacing w:line="360" w:lineRule="auto" w:before="0" w:after="0"/>
      </w:pPr>
      <w:r>
        <w:rPr>
          <w:rFonts w:ascii="Noto Serif CJK SC" w:hAnsi="Noto Serif CJK SC" w:eastAsia="Noto Serif CJK SC"/>
          <w:b w:val="0"/>
          <w:sz w:val="32"/>
        </w:rPr>
        <w:t>**二、对策建议**</w:t>
      </w:r>
    </w:p>
    <w:p>
      <w:pPr>
        <w:ind w:firstLine="475"/>
        <w:jc w:val="both"/>
        <w:spacing w:line="360" w:lineRule="auto" w:before="0" w:after="0"/>
      </w:pPr>
      <w:r>
        <w:rPr>
          <w:rFonts w:ascii="Noto Serif CJK SC" w:hAnsi="Noto Serif CJK SC" w:eastAsia="Noto Serif CJK SC"/>
          <w:b w:val="0"/>
          <w:sz w:val="32"/>
        </w:rPr>
        <w:t>为理性应对AI末日假设报告引发的市场波动，引导人工智能产业健康发展，建议采取以下综合措施：</w:t>
      </w:r>
    </w:p>
    <w:p>
      <w:pPr>
        <w:ind w:firstLine="475"/>
        <w:spacing w:line="360" w:lineRule="auto" w:before="0" w:after="0"/>
      </w:pPr>
      <w:r>
        <w:rPr>
          <w:rFonts w:ascii="Noto Serif CJK SC" w:hAnsi="Noto Serif CJK SC" w:eastAsia="Noto Serif CJK SC"/>
          <w:b/>
          <w:sz w:val="32"/>
        </w:rPr>
        <w:t>（一）建立健全人工智能风险评估与预警体系</w:t>
      </w:r>
    </w:p>
    <w:p>
      <w:pPr>
        <w:ind w:firstLine="475"/>
        <w:jc w:val="both"/>
        <w:spacing w:line="360" w:lineRule="auto" w:before="0" w:after="0"/>
      </w:pPr>
      <w:r>
        <w:rPr>
          <w:rFonts w:ascii="Noto Serif CJK SC" w:hAnsi="Noto Serif CJK SC" w:eastAsia="Noto Serif CJK SC"/>
          <w:b w:val="0"/>
          <w:sz w:val="32"/>
        </w:rPr>
        <w:t>建议科技部会同工信部、央行等部门，组建国家级人工智能风险评估专家委员会，定期发布人工智能技术发展风险评估报告。建立人工智能产业风险监测指标体系，涵盖技术安全、经济影响、就业结构、金融稳定等多个维度。对重大人工智能项目实行风险评估前置，未通过风险评估的项目不得大规模商业化推广。鼓励研究机构开展多情景、概率化的风险评估研究，避免单一极端假设引发市场过度反应。</w:t>
      </w:r>
    </w:p>
    <w:p>
      <w:pPr>
        <w:ind w:firstLine="475"/>
        <w:spacing w:line="360" w:lineRule="auto" w:before="0" w:after="0"/>
      </w:pPr>
      <w:r>
        <w:rPr>
          <w:rFonts w:ascii="Noto Serif CJK SC" w:hAnsi="Noto Serif CJK SC" w:eastAsia="Noto Serif CJK SC"/>
          <w:b/>
          <w:sz w:val="32"/>
        </w:rPr>
        <w:t>（二）加强人工智能领域市场预期引导与信息披露</w:t>
      </w:r>
    </w:p>
    <w:p>
      <w:pPr>
        <w:ind w:firstLine="475"/>
        <w:jc w:val="both"/>
        <w:spacing w:line="360" w:lineRule="auto" w:before="0" w:after="0"/>
      </w:pPr>
      <w:r>
        <w:rPr>
          <w:rFonts w:ascii="Noto Serif CJK SC" w:hAnsi="Noto Serif CJK SC" w:eastAsia="Noto Serif CJK SC"/>
          <w:b w:val="0"/>
          <w:sz w:val="32"/>
        </w:rPr>
        <w:t>证监会和交易所应加强对人工智能相关上市公司的信息披露监管，要求企业如实披露AI业务的技术成熟度、商业化进度、研发投入产出比等关键信息。对利用AI概念炒作股价的行为进行严肃查处。建立人工智能产业指数，引导投资者理性看待行业整体发展态势。组织权威专家通过官方渠道及时解读重大AI技术进展和市场动态，纠正不实信息和极端预测。</w:t>
      </w:r>
    </w:p>
    <w:p>
      <w:pPr>
        <w:ind w:firstLine="475"/>
        <w:spacing w:line="360" w:lineRule="auto" w:before="0" w:after="0"/>
      </w:pPr>
      <w:r>
        <w:rPr>
          <w:rFonts w:ascii="Noto Serif CJK SC" w:hAnsi="Noto Serif CJK SC" w:eastAsia="Noto Serif CJK SC"/>
          <w:b/>
          <w:sz w:val="32"/>
        </w:rPr>
        <w:t>（三）完善人工智能治理与监管框架</w:t>
      </w:r>
    </w:p>
    <w:p>
      <w:pPr>
        <w:ind w:firstLine="475"/>
        <w:jc w:val="both"/>
        <w:spacing w:line="360" w:lineRule="auto" w:before="0" w:after="0"/>
      </w:pPr>
      <w:r>
        <w:rPr>
          <w:rFonts w:ascii="Noto Serif CJK SC" w:hAnsi="Noto Serif CJK SC" w:eastAsia="Noto Serif CJK SC"/>
          <w:b w:val="0"/>
          <w:sz w:val="32"/>
        </w:rPr>
        <w:t>加快《人工智能法》立法进程，明确人工智能研发、部署、应用各环节的安全标准和责任主体。建立人工智能产品分级分类管理制度，对高风险应用实行准入许可和持续监控。推动形成国际人工智能治理共识，参与全球AI安全标准制定。在国家安全委员会框架下设立人工智能安全协调机制，统筹技术发展、产业政策与安全保障。</w:t>
      </w:r>
    </w:p>
    <w:p>
      <w:pPr>
        <w:ind w:firstLine="475"/>
        <w:spacing w:line="360" w:lineRule="auto" w:before="0" w:after="0"/>
      </w:pPr>
      <w:r>
        <w:rPr>
          <w:rFonts w:ascii="Noto Serif CJK SC" w:hAnsi="Noto Serif CJK SC" w:eastAsia="Noto Serif CJK SC"/>
          <w:b/>
          <w:sz w:val="32"/>
        </w:rPr>
        <w:t>（四）推进人工智能科学普及与公众沟通</w:t>
      </w:r>
    </w:p>
    <w:p>
      <w:pPr>
        <w:ind w:firstLine="475"/>
        <w:jc w:val="both"/>
        <w:spacing w:line="360" w:lineRule="auto" w:before="0" w:after="0"/>
      </w:pPr>
      <w:r>
        <w:rPr>
          <w:rFonts w:ascii="Noto Serif CJK SC" w:hAnsi="Noto Serif CJK SC" w:eastAsia="Noto Serif CJK SC"/>
          <w:b w:val="0"/>
          <w:sz w:val="32"/>
        </w:rPr>
        <w:t>教育部门应将人工智能基础知识纳入国民教育体系，培养公众的科学素养和风险认知能力。科技馆、博物馆等公共文化场所增设人工智能专题展区，以通俗易懂方式展示AI技术原理和应用场景。媒体在报道人工智能时应坚持科学态度，平衡报道技术进步与潜在风险，避免渲染极端情景。建立科学家与公众的常态化对话机制，及时回应社会关切。</w:t>
      </w:r>
    </w:p>
    <w:p>
      <w:pPr>
        <w:ind w:firstLine="475"/>
        <w:spacing w:line="360" w:lineRule="auto" w:before="0" w:after="0"/>
      </w:pPr>
      <w:r>
        <w:rPr>
          <w:rFonts w:ascii="Noto Serif CJK SC" w:hAnsi="Noto Serif CJK SC" w:eastAsia="Noto Serif CJK SC"/>
          <w:b/>
          <w:sz w:val="32"/>
        </w:rPr>
        <w:t>（五）强化人工智能安全技术研发与产业支撑</w:t>
      </w:r>
    </w:p>
    <w:p>
      <w:pPr>
        <w:ind w:firstLine="475"/>
        <w:jc w:val="both"/>
        <w:spacing w:line="360" w:lineRule="auto" w:before="0" w:after="0"/>
      </w:pPr>
      <w:r>
        <w:rPr>
          <w:rFonts w:ascii="Noto Serif CJK SC" w:hAnsi="Noto Serif CJK SC" w:eastAsia="Noto Serif CJK SC"/>
          <w:b w:val="0"/>
          <w:sz w:val="32"/>
        </w:rPr>
        <w:t>加大人工智能安全技术研发投入，重点突破AI系统可解释性、可控性、鲁棒性等关键技术。支持建立人工智能安全测试验证平台，为企业提供第三方安全评估服务。鼓励保险公司开发人工智能责任险产品，分散技术应用风险。培育人工智能安全产业生态，形成技术研发、产品开发、服务支持完整链条。</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